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F741" w14:textId="77777777" w:rsidR="00DA326F" w:rsidRPr="005110DC" w:rsidRDefault="00DA326F" w:rsidP="00DA326F">
      <w:pPr>
        <w:jc w:val="both"/>
        <w:rPr>
          <w:spacing w:val="-2"/>
          <w:sz w:val="21"/>
          <w:szCs w:val="21"/>
        </w:rPr>
      </w:pPr>
      <w:r w:rsidRPr="005110DC">
        <w:rPr>
          <w:spacing w:val="-2"/>
          <w:sz w:val="21"/>
          <w:szCs w:val="21"/>
        </w:rPr>
        <w:t xml:space="preserve">Si rediga il rendiconto dei flussi di cassa dei flussi di cassa derivanti dalle operazioni di </w:t>
      </w:r>
      <w:r w:rsidRPr="005110DC">
        <w:rPr>
          <w:spacing w:val="-2"/>
          <w:sz w:val="21"/>
          <w:szCs w:val="21"/>
        </w:rPr>
        <w:t>e</w:t>
      </w:r>
      <w:r w:rsidRPr="005110DC">
        <w:rPr>
          <w:spacing w:val="-2"/>
          <w:sz w:val="21"/>
          <w:szCs w:val="21"/>
        </w:rPr>
        <w:t>sercizio dell’area operativa e generali, dalle operazioni di investimento e dalle operazioni di finanziamento dell’azienda Alfa, utilizzando il foglio di lavoro alleg</w:t>
      </w:r>
      <w:r w:rsidRPr="005110DC">
        <w:rPr>
          <w:spacing w:val="-2"/>
          <w:sz w:val="21"/>
          <w:szCs w:val="21"/>
        </w:rPr>
        <w:t>a</w:t>
      </w:r>
      <w:r w:rsidRPr="005110DC">
        <w:rPr>
          <w:spacing w:val="-2"/>
          <w:sz w:val="21"/>
          <w:szCs w:val="21"/>
        </w:rPr>
        <w:t xml:space="preserve">to e si </w:t>
      </w:r>
      <w:r w:rsidRPr="005110DC">
        <w:rPr>
          <w:spacing w:val="-2"/>
          <w:sz w:val="21"/>
          <w:szCs w:val="21"/>
          <w:u w:val="single"/>
        </w:rPr>
        <w:t>commenti brevemente il risultato</w:t>
      </w:r>
      <w:r w:rsidRPr="005110DC">
        <w:rPr>
          <w:spacing w:val="-2"/>
          <w:sz w:val="21"/>
          <w:szCs w:val="21"/>
        </w:rPr>
        <w:t xml:space="preserve">. A tal fine, partendo dalla situazione patrimoniale ed economica sottostante si tenga conto delle seguenti informazioni:  </w:t>
      </w:r>
    </w:p>
    <w:p w14:paraId="39928031" w14:textId="4D47FEFF" w:rsidR="000E7FA2" w:rsidRDefault="00DA326F" w:rsidP="00DA326F">
      <w:pPr>
        <w:rPr>
          <w:sz w:val="21"/>
          <w:szCs w:val="21"/>
        </w:rPr>
      </w:pPr>
      <w:r w:rsidRPr="005110DC">
        <w:rPr>
          <w:b/>
          <w:bCs/>
          <w:sz w:val="21"/>
          <w:szCs w:val="21"/>
        </w:rPr>
        <w:t>Immobili civili</w:t>
      </w:r>
      <w:r w:rsidRPr="005110DC">
        <w:rPr>
          <w:sz w:val="21"/>
          <w:szCs w:val="21"/>
        </w:rPr>
        <w:t xml:space="preserve">. Il valore contabile degli immobili civili è stato incrementato esclusivamente in applicazione delle disposizioni dello IAS 40 (valutazione a </w:t>
      </w:r>
      <w:r w:rsidRPr="005110DC">
        <w:rPr>
          <w:i/>
          <w:sz w:val="21"/>
          <w:szCs w:val="21"/>
        </w:rPr>
        <w:t xml:space="preserve">fair </w:t>
      </w:r>
      <w:proofErr w:type="spellStart"/>
      <w:r w:rsidRPr="005110DC">
        <w:rPr>
          <w:i/>
          <w:sz w:val="21"/>
          <w:szCs w:val="21"/>
        </w:rPr>
        <w:t>value</w:t>
      </w:r>
      <w:proofErr w:type="spellEnd"/>
      <w:r w:rsidRPr="005110DC">
        <w:rPr>
          <w:sz w:val="21"/>
          <w:szCs w:val="21"/>
        </w:rPr>
        <w:t xml:space="preserve">), la variazione positiva è accolta nella voce Altri Ricavi e Proventi. </w:t>
      </w:r>
      <w:r w:rsidRPr="005110DC">
        <w:rPr>
          <w:b/>
          <w:sz w:val="21"/>
          <w:szCs w:val="21"/>
        </w:rPr>
        <w:t>Spese di Ricerca e Sviluppo</w:t>
      </w:r>
      <w:r w:rsidRPr="005110DC">
        <w:rPr>
          <w:sz w:val="21"/>
          <w:szCs w:val="21"/>
        </w:rPr>
        <w:t>. In data 15/12 sono state sostenute spese di R&amp;S per € 5</w:t>
      </w:r>
      <w:r>
        <w:rPr>
          <w:sz w:val="21"/>
          <w:szCs w:val="21"/>
        </w:rPr>
        <w:t>5</w:t>
      </w:r>
      <w:r w:rsidRPr="005110DC">
        <w:rPr>
          <w:sz w:val="21"/>
          <w:szCs w:val="21"/>
        </w:rPr>
        <w:t xml:space="preserve">0 integralmente capitalizzate. Le spese di R&amp;S presenti in bilancio al 01/01 sono soggette ad ammortamento annuo di 200. </w:t>
      </w:r>
      <w:r w:rsidRPr="005110DC">
        <w:rPr>
          <w:b/>
          <w:sz w:val="21"/>
          <w:szCs w:val="21"/>
        </w:rPr>
        <w:t xml:space="preserve">Macchinari/Impianti. </w:t>
      </w:r>
      <w:r w:rsidRPr="005110DC">
        <w:rPr>
          <w:sz w:val="21"/>
          <w:szCs w:val="21"/>
        </w:rPr>
        <w:t>a)</w:t>
      </w:r>
      <w:r w:rsidRPr="005110DC">
        <w:rPr>
          <w:b/>
          <w:sz w:val="21"/>
          <w:szCs w:val="21"/>
        </w:rPr>
        <w:t xml:space="preserve"> </w:t>
      </w:r>
      <w:r w:rsidRPr="005110DC">
        <w:rPr>
          <w:sz w:val="21"/>
          <w:szCs w:val="21"/>
        </w:rPr>
        <w:t xml:space="preserve">Al 31/12 il valore contabile delle Impianti risulta incrementato esclusivamente in applicazione delle disposizioni del </w:t>
      </w:r>
      <w:proofErr w:type="spellStart"/>
      <w:r w:rsidRPr="005110DC">
        <w:rPr>
          <w:i/>
          <w:iCs/>
          <w:sz w:val="21"/>
          <w:szCs w:val="21"/>
        </w:rPr>
        <w:t>Revaluation</w:t>
      </w:r>
      <w:proofErr w:type="spellEnd"/>
      <w:r w:rsidRPr="005110DC">
        <w:rPr>
          <w:i/>
          <w:iCs/>
          <w:sz w:val="21"/>
          <w:szCs w:val="21"/>
        </w:rPr>
        <w:t xml:space="preserve"> Model </w:t>
      </w:r>
      <w:r w:rsidRPr="005110DC">
        <w:rPr>
          <w:sz w:val="21"/>
          <w:szCs w:val="21"/>
        </w:rPr>
        <w:t xml:space="preserve">previsto dallo IAS 16 (la variazione complessiva di 800 è imputata per 200 al C.E. come Ripresa di Valore, accolta nella voce Altri Ricavi e Proventi, e per 600 al Patrimonio Netto). Gli ammortamenti annui della voce Impianti ammontano a € 300. b) Sono stati ceduti Macchinari nell’anno che hanno generato </w:t>
      </w:r>
      <w:proofErr w:type="gramStart"/>
      <w:r w:rsidRPr="005110DC">
        <w:rPr>
          <w:sz w:val="21"/>
          <w:szCs w:val="21"/>
        </w:rPr>
        <w:t>un plusvalenza</w:t>
      </w:r>
      <w:proofErr w:type="gramEnd"/>
      <w:r w:rsidRPr="005110DC">
        <w:rPr>
          <w:sz w:val="21"/>
          <w:szCs w:val="21"/>
        </w:rPr>
        <w:t xml:space="preserve"> d’alienazione per € 150, accolta nella voce Altri Ricavi e Proventi. Gli ammortamenti annui della voce Macchinari ammontano a € 200. </w:t>
      </w:r>
      <w:r w:rsidRPr="005110DC">
        <w:rPr>
          <w:b/>
          <w:sz w:val="21"/>
          <w:szCs w:val="21"/>
        </w:rPr>
        <w:t>Avviamento</w:t>
      </w:r>
      <w:r w:rsidRPr="005110DC">
        <w:rPr>
          <w:sz w:val="21"/>
          <w:szCs w:val="21"/>
        </w:rPr>
        <w:t xml:space="preserve">. La voce è stata soggetta ad </w:t>
      </w:r>
      <w:r w:rsidRPr="00456DE7">
        <w:rPr>
          <w:i/>
          <w:sz w:val="21"/>
          <w:szCs w:val="21"/>
        </w:rPr>
        <w:t>impairment</w:t>
      </w:r>
      <w:r w:rsidRPr="005110DC">
        <w:rPr>
          <w:i/>
          <w:sz w:val="21"/>
          <w:szCs w:val="21"/>
        </w:rPr>
        <w:t xml:space="preserve"> test</w:t>
      </w:r>
      <w:r w:rsidRPr="005110DC">
        <w:rPr>
          <w:sz w:val="21"/>
          <w:szCs w:val="21"/>
        </w:rPr>
        <w:t xml:space="preserve">. </w:t>
      </w:r>
      <w:r w:rsidRPr="005110DC">
        <w:rPr>
          <w:b/>
          <w:bCs/>
          <w:sz w:val="21"/>
          <w:szCs w:val="21"/>
        </w:rPr>
        <w:t>Obbligazioni convertibili</w:t>
      </w:r>
      <w:r w:rsidRPr="005110DC">
        <w:rPr>
          <w:sz w:val="21"/>
          <w:szCs w:val="21"/>
        </w:rPr>
        <w:t xml:space="preserve">. Nel corso dell’anno Obbligazioni per € 1.200 sono state convertite in Partecipazioni nella XYZ detenute in portafoglio per € 1.000 (conversione </w:t>
      </w:r>
      <w:r w:rsidRPr="005110DC">
        <w:rPr>
          <w:i/>
          <w:sz w:val="21"/>
          <w:szCs w:val="21"/>
        </w:rPr>
        <w:t>indiretta</w:t>
      </w:r>
      <w:r w:rsidRPr="005110DC">
        <w:rPr>
          <w:sz w:val="21"/>
          <w:szCs w:val="21"/>
        </w:rPr>
        <w:t xml:space="preserve">), il residuo costituisce plusvalenza da alienazione, accolta nella voce Altri Ricavi e Proventi. </w:t>
      </w:r>
      <w:r w:rsidRPr="005110DC">
        <w:rPr>
          <w:b/>
          <w:sz w:val="21"/>
          <w:szCs w:val="21"/>
        </w:rPr>
        <w:t>Aggio di emissione</w:t>
      </w:r>
      <w:r w:rsidRPr="005110DC">
        <w:rPr>
          <w:sz w:val="21"/>
          <w:szCs w:val="21"/>
        </w:rPr>
        <w:t xml:space="preserve">. Lo storno definitivo dell’Aggio va ad alimentare i Proventi finanziari. </w:t>
      </w:r>
      <w:r w:rsidRPr="005110DC">
        <w:rPr>
          <w:b/>
          <w:sz w:val="21"/>
          <w:szCs w:val="21"/>
        </w:rPr>
        <w:t>Attivo Circolante</w:t>
      </w:r>
      <w:r w:rsidRPr="005110DC">
        <w:rPr>
          <w:sz w:val="21"/>
          <w:szCs w:val="21"/>
        </w:rPr>
        <w:t xml:space="preserve">. Le cambiali attive si riferiscono alla vendita del Macchinario di cui al punto </w:t>
      </w:r>
      <w:r w:rsidRPr="005110DC">
        <w:rPr>
          <w:i/>
          <w:sz w:val="21"/>
          <w:szCs w:val="21"/>
        </w:rPr>
        <w:t>Macchinari/Impianti</w:t>
      </w:r>
      <w:r w:rsidRPr="005110DC">
        <w:rPr>
          <w:sz w:val="21"/>
          <w:szCs w:val="21"/>
        </w:rPr>
        <w:t>, i debiti v/soci costituiscono un finanziamento a titolo di capitale di prestito da parte dei soci, mentre i crediti e i debiti v/fornitori si riferiscono integralmente alla gestione corrente.</w:t>
      </w:r>
    </w:p>
    <w:p w14:paraId="5E0E4C49" w14:textId="6CC51E95" w:rsidR="00DA326F" w:rsidRDefault="00DA326F" w:rsidP="00DA326F">
      <w:pPr>
        <w:rPr>
          <w:sz w:val="21"/>
          <w:szCs w:val="21"/>
        </w:rPr>
      </w:pPr>
    </w:p>
    <w:p w14:paraId="25A1941E" w14:textId="747C1C15" w:rsidR="00DA326F" w:rsidRDefault="00DA326F" w:rsidP="00DA326F">
      <w:r w:rsidRPr="00DA326F">
        <w:drawing>
          <wp:anchor distT="0" distB="0" distL="114300" distR="114300" simplePos="0" relativeHeight="251658240" behindDoc="1" locked="0" layoutInCell="1" allowOverlap="1" wp14:anchorId="21C3F705" wp14:editId="7B71E569">
            <wp:simplePos x="0" y="0"/>
            <wp:positionH relativeFrom="column">
              <wp:posOffset>3474720</wp:posOffset>
            </wp:positionH>
            <wp:positionV relativeFrom="paragraph">
              <wp:posOffset>0</wp:posOffset>
            </wp:positionV>
            <wp:extent cx="2520315" cy="3215640"/>
            <wp:effectExtent l="0" t="0" r="0" b="3810"/>
            <wp:wrapTight wrapText="bothSides">
              <wp:wrapPolygon edited="0">
                <wp:start x="0" y="0"/>
                <wp:lineTo x="0" y="21498"/>
                <wp:lineTo x="16490" y="21498"/>
                <wp:lineTo x="21388" y="21370"/>
                <wp:lineTo x="21388" y="2047"/>
                <wp:lineTo x="19918" y="2047"/>
                <wp:lineTo x="21388" y="1408"/>
                <wp:lineTo x="2138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26F">
        <w:drawing>
          <wp:inline distT="0" distB="0" distL="0" distR="0" wp14:anchorId="590379CF" wp14:editId="2B36E852">
            <wp:extent cx="2865120" cy="568100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67" cy="568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56"/>
    <w:multiLevelType w:val="hybridMultilevel"/>
    <w:tmpl w:val="12DCFDAE"/>
    <w:lvl w:ilvl="0" w:tplc="DBBE87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13"/>
    <w:rsid w:val="000E7FA2"/>
    <w:rsid w:val="004C4A13"/>
    <w:rsid w:val="00D54E7A"/>
    <w:rsid w:val="00D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A622"/>
  <w15:chartTrackingRefBased/>
  <w15:docId w15:val="{69CDB391-E4E5-46E2-93DE-5E99FD56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Di Carlo</dc:creator>
  <cp:keywords/>
  <dc:description/>
  <cp:lastModifiedBy>Ferdinando Di Carlo</cp:lastModifiedBy>
  <cp:revision>2</cp:revision>
  <dcterms:created xsi:type="dcterms:W3CDTF">2022-01-28T18:13:00Z</dcterms:created>
  <dcterms:modified xsi:type="dcterms:W3CDTF">2022-01-28T18:17:00Z</dcterms:modified>
</cp:coreProperties>
</file>